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4D8A" w:rsidRDefault="008668A3" w:rsidP="008005A0">
      <w:pPr>
        <w:rPr>
          <w:rFonts w:eastAsia="Times New Roman" w:cstheme="minorHAnsi"/>
          <w:b/>
          <w:bCs/>
          <w:color w:val="000000"/>
          <w:kern w:val="36"/>
          <w:sz w:val="22"/>
          <w:szCs w:val="22"/>
          <w:lang w:eastAsia="fr-FR"/>
        </w:rPr>
      </w:pPr>
      <w:r w:rsidRPr="008668A3">
        <w:rPr>
          <w:rFonts w:eastAsia="Times New Roman" w:cstheme="minorHAnsi"/>
          <w:b/>
          <w:bCs/>
          <w:noProof/>
          <w:color w:val="000000"/>
          <w:kern w:val="36"/>
          <w:sz w:val="22"/>
          <w:szCs w:val="22"/>
          <w:lang w:eastAsia="fr-FR"/>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1905</wp:posOffset>
                </wp:positionV>
                <wp:extent cx="996315" cy="8959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95985"/>
                        </a:xfrm>
                        <a:prstGeom prst="rect">
                          <a:avLst/>
                        </a:prstGeom>
                        <a:solidFill>
                          <a:srgbClr val="FFFFFF"/>
                        </a:solidFill>
                        <a:ln w="9525">
                          <a:noFill/>
                          <a:miter lim="800000"/>
                          <a:headEnd/>
                          <a:tailEnd/>
                        </a:ln>
                      </wps:spPr>
                      <wps:txbx>
                        <w:txbxContent>
                          <w:p w:rsidR="008668A3" w:rsidRDefault="008668A3">
                            <w:r>
                              <w:rPr>
                                <w:noProof/>
                                <w:lang w:eastAsia="fr-FR"/>
                              </w:rPr>
                              <w:drawing>
                                <wp:inline distT="0" distB="0" distL="0" distR="0">
                                  <wp:extent cx="795274" cy="795274"/>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764" cy="803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9pt;margin-top:.15pt;width:78.45pt;height:7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" stroked="f">
                <v:textbox>
                  <w:txbxContent>
                    <w:p w:rsidR="008668A3" w:rsidRDefault="008668A3">
                      <w:r>
                        <w:rPr>
                          <w:noProof/>
                        </w:rPr>
                        <w:drawing>
                          <wp:inline distT="0" distB="0" distL="0" distR="0">
                            <wp:extent cx="795274" cy="795274"/>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764" cy="803764"/>
                                    </a:xfrm>
                                    <a:prstGeom prst="rect">
                                      <a:avLst/>
                                    </a:prstGeom>
                                    <a:noFill/>
                                    <a:ln>
                                      <a:noFill/>
                                    </a:ln>
                                  </pic:spPr>
                                </pic:pic>
                              </a:graphicData>
                            </a:graphic>
                          </wp:inline>
                        </w:drawing>
                      </w:r>
                    </w:p>
                  </w:txbxContent>
                </v:textbox>
                <w10:wrap type="square"/>
              </v:shape>
            </w:pict>
          </mc:Fallback>
        </mc:AlternateContent>
      </w:r>
    </w:p>
    <w:p w:rsidR="00A24D8A" w:rsidRPr="005765D5" w:rsidRDefault="005765D5" w:rsidP="005765D5">
      <w:pPr>
        <w:jc w:val="right"/>
        <w:rPr>
          <w:rFonts w:eastAsia="Times New Roman" w:cstheme="minorHAnsi"/>
          <w:bCs/>
          <w:color w:val="000000"/>
          <w:kern w:val="36"/>
          <w:sz w:val="22"/>
          <w:szCs w:val="22"/>
          <w:lang w:eastAsia="fr-FR"/>
        </w:rPr>
      </w:pPr>
      <w:r w:rsidRPr="005765D5">
        <w:rPr>
          <w:rFonts w:eastAsia="Times New Roman" w:cstheme="minorHAnsi"/>
          <w:bCs/>
          <w:color w:val="000000"/>
          <w:kern w:val="36"/>
          <w:sz w:val="22"/>
          <w:szCs w:val="22"/>
          <w:lang w:eastAsia="fr-FR"/>
        </w:rPr>
        <w:t>Strasbourg le 10 janvier 2022</w:t>
      </w:r>
    </w:p>
    <w:p w:rsidR="00A24D8A" w:rsidRDefault="00A24D8A" w:rsidP="008005A0">
      <w:pPr>
        <w:rPr>
          <w:rFonts w:eastAsia="Times New Roman" w:cstheme="minorHAnsi"/>
          <w:b/>
          <w:bCs/>
          <w:color w:val="000000"/>
          <w:kern w:val="36"/>
          <w:sz w:val="22"/>
          <w:szCs w:val="22"/>
          <w:lang w:eastAsia="fr-FR"/>
        </w:rPr>
      </w:pPr>
    </w:p>
    <w:p w:rsidR="00A24D8A" w:rsidRDefault="00A24D8A" w:rsidP="008005A0">
      <w:pPr>
        <w:rPr>
          <w:rFonts w:eastAsia="Times New Roman" w:cstheme="minorHAnsi"/>
          <w:b/>
          <w:bCs/>
          <w:color w:val="000000"/>
          <w:kern w:val="36"/>
          <w:sz w:val="22"/>
          <w:szCs w:val="22"/>
          <w:lang w:eastAsia="fr-FR"/>
        </w:rPr>
      </w:pPr>
    </w:p>
    <w:p w:rsidR="003A37C9" w:rsidRDefault="003A37C9" w:rsidP="008005A0">
      <w:pPr>
        <w:rPr>
          <w:rFonts w:eastAsia="Times New Roman" w:cstheme="minorHAnsi"/>
          <w:b/>
          <w:bCs/>
          <w:color w:val="000000"/>
          <w:kern w:val="36"/>
          <w:sz w:val="22"/>
          <w:szCs w:val="22"/>
          <w:lang w:eastAsia="fr-FR"/>
        </w:rPr>
      </w:pPr>
    </w:p>
    <w:p w:rsidR="003A37C9" w:rsidRDefault="003A37C9" w:rsidP="008005A0">
      <w:pPr>
        <w:rPr>
          <w:rFonts w:eastAsia="Times New Roman" w:cstheme="minorHAnsi"/>
          <w:b/>
          <w:bCs/>
          <w:color w:val="000000"/>
          <w:kern w:val="36"/>
          <w:sz w:val="22"/>
          <w:szCs w:val="22"/>
          <w:lang w:eastAsia="fr-FR"/>
        </w:rPr>
      </w:pPr>
    </w:p>
    <w:p w:rsidR="00765193" w:rsidRDefault="00765193" w:rsidP="003D255A">
      <w:pPr>
        <w:pBdr>
          <w:bottom w:val="single" w:sz="4" w:space="1" w:color="auto"/>
        </w:pBdr>
        <w:rPr>
          <w:rFonts w:eastAsia="Times New Roman" w:cstheme="minorHAnsi"/>
          <w:b/>
          <w:bCs/>
          <w:color w:val="000000"/>
          <w:kern w:val="36"/>
          <w:sz w:val="22"/>
          <w:szCs w:val="22"/>
          <w:lang w:eastAsia="fr-FR"/>
        </w:rPr>
      </w:pPr>
    </w:p>
    <w:p w:rsidR="00303833" w:rsidRPr="003A37C9" w:rsidRDefault="00303833" w:rsidP="003D255A">
      <w:pPr>
        <w:pBdr>
          <w:bottom w:val="single" w:sz="4" w:space="1" w:color="auto"/>
        </w:pBdr>
        <w:rPr>
          <w:rFonts w:eastAsia="Times New Roman" w:cstheme="minorHAnsi"/>
          <w:b/>
          <w:bCs/>
          <w:color w:val="000000"/>
          <w:kern w:val="36"/>
          <w:sz w:val="22"/>
          <w:szCs w:val="22"/>
          <w:lang w:eastAsia="fr-FR"/>
        </w:rPr>
      </w:pPr>
      <w:r w:rsidRPr="003A37C9">
        <w:rPr>
          <w:rFonts w:eastAsia="Times New Roman" w:cstheme="minorHAnsi"/>
          <w:b/>
          <w:bCs/>
          <w:color w:val="000000"/>
          <w:kern w:val="36"/>
          <w:sz w:val="22"/>
          <w:szCs w:val="22"/>
          <w:lang w:eastAsia="fr-FR"/>
        </w:rPr>
        <w:t>Communiqué de presse régional</w:t>
      </w:r>
      <w:r w:rsidR="00F643DA" w:rsidRPr="003A37C9">
        <w:rPr>
          <w:rFonts w:eastAsia="Times New Roman" w:cstheme="minorHAnsi"/>
          <w:b/>
          <w:bCs/>
          <w:color w:val="000000"/>
          <w:kern w:val="36"/>
          <w:sz w:val="22"/>
          <w:szCs w:val="22"/>
          <w:lang w:eastAsia="fr-FR"/>
        </w:rPr>
        <w:t xml:space="preserve"> </w:t>
      </w:r>
      <w:r w:rsidR="00F643DA" w:rsidRPr="003A37C9">
        <w:rPr>
          <w:rFonts w:eastAsia="Times New Roman" w:cstheme="minorHAnsi"/>
          <w:b/>
          <w:bCs/>
          <w:color w:val="000000"/>
          <w:kern w:val="36"/>
          <w:sz w:val="22"/>
          <w:szCs w:val="22"/>
          <w:lang w:eastAsia="fr-FR"/>
        </w:rPr>
        <w:tab/>
      </w:r>
      <w:r w:rsidR="00F643DA" w:rsidRPr="003A37C9">
        <w:rPr>
          <w:rFonts w:eastAsia="Times New Roman" w:cstheme="minorHAnsi"/>
          <w:b/>
          <w:bCs/>
          <w:color w:val="000000"/>
          <w:kern w:val="36"/>
          <w:sz w:val="22"/>
          <w:szCs w:val="22"/>
          <w:lang w:eastAsia="fr-FR"/>
        </w:rPr>
        <w:tab/>
      </w:r>
      <w:r w:rsidR="00F643DA" w:rsidRPr="003A37C9">
        <w:rPr>
          <w:rFonts w:eastAsia="Times New Roman" w:cstheme="minorHAnsi"/>
          <w:b/>
          <w:bCs/>
          <w:color w:val="000000"/>
          <w:kern w:val="36"/>
          <w:sz w:val="22"/>
          <w:szCs w:val="22"/>
          <w:lang w:eastAsia="fr-FR"/>
        </w:rPr>
        <w:tab/>
      </w:r>
      <w:r w:rsidR="00F643DA" w:rsidRPr="003A37C9">
        <w:rPr>
          <w:rFonts w:eastAsia="Times New Roman" w:cstheme="minorHAnsi"/>
          <w:b/>
          <w:bCs/>
          <w:color w:val="000000"/>
          <w:kern w:val="36"/>
          <w:sz w:val="22"/>
          <w:szCs w:val="22"/>
          <w:lang w:eastAsia="fr-FR"/>
        </w:rPr>
        <w:tab/>
      </w:r>
      <w:r w:rsidR="008668A3" w:rsidRPr="003A37C9">
        <w:rPr>
          <w:rFonts w:eastAsia="Times New Roman" w:cstheme="minorHAnsi"/>
          <w:b/>
          <w:bCs/>
          <w:color w:val="000000"/>
          <w:kern w:val="36"/>
          <w:sz w:val="22"/>
          <w:szCs w:val="22"/>
          <w:lang w:eastAsia="fr-FR"/>
        </w:rPr>
        <w:tab/>
      </w:r>
    </w:p>
    <w:p w:rsidR="00303833" w:rsidRDefault="00303833" w:rsidP="008005A0">
      <w:pPr>
        <w:rPr>
          <w:rFonts w:eastAsia="Times New Roman" w:cstheme="minorHAnsi"/>
          <w:b/>
          <w:bCs/>
          <w:color w:val="000000"/>
          <w:kern w:val="36"/>
          <w:sz w:val="22"/>
          <w:szCs w:val="22"/>
          <w:lang w:eastAsia="fr-FR"/>
        </w:rPr>
      </w:pPr>
    </w:p>
    <w:p w:rsidR="00F643DA" w:rsidRPr="008B49F6" w:rsidRDefault="008005A0" w:rsidP="003D255A">
      <w:pPr>
        <w:rPr>
          <w:rFonts w:eastAsia="Times New Roman" w:cstheme="minorHAnsi"/>
          <w:b/>
          <w:bCs/>
          <w:color w:val="000000"/>
          <w:kern w:val="36"/>
          <w:lang w:eastAsia="fr-FR"/>
        </w:rPr>
      </w:pPr>
      <w:r w:rsidRPr="008B49F6">
        <w:rPr>
          <w:rFonts w:eastAsia="Times New Roman" w:cstheme="minorHAnsi"/>
          <w:b/>
          <w:bCs/>
          <w:color w:val="000000"/>
          <w:kern w:val="36"/>
          <w:lang w:eastAsia="fr-FR"/>
        </w:rPr>
        <w:t>A Strasbourg, deux chercheurs CNRS lauréats de financement européen « ERC Starting 2021 »</w:t>
      </w:r>
      <w:r w:rsidR="00AA515B" w:rsidRPr="008B49F6">
        <w:rPr>
          <w:rFonts w:eastAsia="Times New Roman" w:cstheme="minorHAnsi"/>
          <w:b/>
          <w:bCs/>
          <w:color w:val="000000"/>
          <w:kern w:val="36"/>
          <w:lang w:eastAsia="fr-FR"/>
        </w:rPr>
        <w:t xml:space="preserve"> pour leurs projets de recherche innovants</w:t>
      </w:r>
    </w:p>
    <w:p w:rsidR="00F643DA" w:rsidRPr="008B49F6" w:rsidRDefault="00F643DA" w:rsidP="008005A0">
      <w:pPr>
        <w:rPr>
          <w:b/>
          <w:bCs/>
        </w:rPr>
      </w:pPr>
    </w:p>
    <w:p w:rsidR="003A37C9" w:rsidRPr="008B49F6" w:rsidRDefault="008005A0" w:rsidP="00A24D8A">
      <w:pPr>
        <w:jc w:val="both"/>
        <w:rPr>
          <w:b/>
        </w:rPr>
      </w:pPr>
      <w:r w:rsidRPr="008B49F6">
        <w:rPr>
          <w:b/>
          <w:bCs/>
        </w:rPr>
        <w:t xml:space="preserve">Le Conseil européen de la recherche (ERC) vient d'annoncer les lauréats des bourses « Starting » qui financent de manière importante les projets de jeunes chercheurs et chercheuses. Le CNRS est l’institution hôte pour 26 bourses, dont 2 sont </w:t>
      </w:r>
      <w:r w:rsidR="00923036">
        <w:rPr>
          <w:b/>
          <w:bCs/>
        </w:rPr>
        <w:t>obtenu</w:t>
      </w:r>
      <w:r w:rsidR="00303833" w:rsidRPr="008B49F6">
        <w:rPr>
          <w:b/>
          <w:bCs/>
        </w:rPr>
        <w:t>es par de jeunes scientifiques strasbourgeois</w:t>
      </w:r>
      <w:r w:rsidR="003A37C9" w:rsidRPr="008B49F6">
        <w:rPr>
          <w:b/>
          <w:bCs/>
        </w:rPr>
        <w:t> :</w:t>
      </w:r>
      <w:r w:rsidR="003A37C9" w:rsidRPr="008B49F6">
        <w:rPr>
          <w:b/>
        </w:rPr>
        <w:t xml:space="preserve"> </w:t>
      </w:r>
    </w:p>
    <w:p w:rsidR="003A37C9" w:rsidRPr="008B49F6" w:rsidRDefault="003A37C9" w:rsidP="00A24D8A">
      <w:pPr>
        <w:jc w:val="both"/>
        <w:rPr>
          <w:b/>
        </w:rPr>
      </w:pPr>
    </w:p>
    <w:p w:rsidR="003A37C9" w:rsidRPr="008B49F6" w:rsidRDefault="003A37C9" w:rsidP="00A24D8A">
      <w:pPr>
        <w:jc w:val="both"/>
        <w:rPr>
          <w:b/>
          <w:bCs/>
        </w:rPr>
      </w:pPr>
      <w:r w:rsidRPr="008B49F6">
        <w:rPr>
          <w:b/>
        </w:rPr>
        <w:t>- Antoine Valera</w:t>
      </w:r>
      <w:r w:rsidRPr="008B49F6">
        <w:t xml:space="preserve">, neurobiologiste à l’Institut des </w:t>
      </w:r>
      <w:r w:rsidR="008B49F6" w:rsidRPr="008B49F6">
        <w:t>n</w:t>
      </w:r>
      <w:r w:rsidRPr="008B49F6">
        <w:t xml:space="preserve">eurosciences </w:t>
      </w:r>
      <w:r w:rsidR="008B49F6">
        <w:t>c</w:t>
      </w:r>
      <w:r w:rsidRPr="008B49F6">
        <w:t xml:space="preserve">ellulaires et </w:t>
      </w:r>
      <w:r w:rsidR="008B49F6">
        <w:t>i</w:t>
      </w:r>
      <w:r w:rsidRPr="008B49F6">
        <w:t>ntégratives</w:t>
      </w:r>
      <w:r w:rsidR="00BB08FA" w:rsidRPr="008B49F6">
        <w:t xml:space="preserve"> [</w:t>
      </w:r>
      <w:r w:rsidRPr="008B49F6">
        <w:t>INCI, unité de recherche du CNRS</w:t>
      </w:r>
      <w:r w:rsidR="00BB08FA" w:rsidRPr="008B49F6">
        <w:t xml:space="preserve">] </w:t>
      </w:r>
      <w:r w:rsidRPr="008B49F6">
        <w:rPr>
          <w:bCs/>
        </w:rPr>
        <w:t xml:space="preserve">pour le </w:t>
      </w:r>
      <w:r w:rsidRPr="008B49F6">
        <w:rPr>
          <w:b/>
          <w:bCs/>
        </w:rPr>
        <w:t>projet de recherche</w:t>
      </w:r>
      <w:r w:rsidRPr="008B49F6">
        <w:rPr>
          <w:bCs/>
        </w:rPr>
        <w:t xml:space="preserve"> </w:t>
      </w:r>
      <w:r w:rsidRPr="008B49F6">
        <w:rPr>
          <w:b/>
          <w:bCs/>
        </w:rPr>
        <w:t>CereCode</w:t>
      </w:r>
      <w:r w:rsidRPr="008B49F6">
        <w:rPr>
          <w:bCs/>
        </w:rPr>
        <w:t xml:space="preserve">, « </w:t>
      </w:r>
      <w:r w:rsidRPr="008B49F6">
        <w:rPr>
          <w:bCs/>
          <w:i/>
        </w:rPr>
        <w:t>Calculs neuronaux et la dynamique des populations dans les noyaux cérébelleux au cours des comportements moteurs</w:t>
      </w:r>
      <w:r w:rsidRPr="008B49F6">
        <w:rPr>
          <w:bCs/>
        </w:rPr>
        <w:t xml:space="preserve"> »</w:t>
      </w:r>
      <w:r w:rsidR="00BB08FA" w:rsidRPr="008B49F6">
        <w:rPr>
          <w:bCs/>
        </w:rPr>
        <w:t xml:space="preserve"> </w:t>
      </w:r>
    </w:p>
    <w:p w:rsidR="003A37C9" w:rsidRPr="008B49F6" w:rsidRDefault="003A37C9" w:rsidP="00A24D8A">
      <w:pPr>
        <w:jc w:val="both"/>
        <w:rPr>
          <w:bCs/>
        </w:rPr>
      </w:pPr>
    </w:p>
    <w:p w:rsidR="008005A0" w:rsidRPr="008B49F6" w:rsidRDefault="003A37C9" w:rsidP="00A24D8A">
      <w:pPr>
        <w:jc w:val="both"/>
        <w:rPr>
          <w:b/>
          <w:bCs/>
        </w:rPr>
      </w:pPr>
      <w:r w:rsidRPr="008B49F6">
        <w:rPr>
          <w:b/>
        </w:rPr>
        <w:t>- Marco Rocca</w:t>
      </w:r>
      <w:r w:rsidRPr="008B49F6">
        <w:t>, chercheur CNRS en droit du travail</w:t>
      </w:r>
      <w:r w:rsidR="00BB08FA" w:rsidRPr="008B49F6">
        <w:t>,</w:t>
      </w:r>
      <w:r w:rsidRPr="008B49F6">
        <w:t xml:space="preserve"> au laboratoire Droit, religion, entreprise et société</w:t>
      </w:r>
      <w:r w:rsidR="00BB08FA" w:rsidRPr="008B49F6">
        <w:t xml:space="preserve"> [</w:t>
      </w:r>
      <w:r w:rsidRPr="008B49F6">
        <w:t>DRES</w:t>
      </w:r>
      <w:r w:rsidR="00BB08FA" w:rsidRPr="008B49F6">
        <w:t xml:space="preserve">, </w:t>
      </w:r>
      <w:r w:rsidRPr="008B49F6">
        <w:t>unité de recherche du CNRS et de l’université de Strasbourg</w:t>
      </w:r>
      <w:r w:rsidR="00BB08FA" w:rsidRPr="008B49F6">
        <w:t>]</w:t>
      </w:r>
      <w:r w:rsidRPr="008B49F6">
        <w:t xml:space="preserve"> a construit le </w:t>
      </w:r>
      <w:r w:rsidRPr="008B49F6">
        <w:rPr>
          <w:b/>
        </w:rPr>
        <w:t>projet de recherche E-BOP</w:t>
      </w:r>
      <w:r w:rsidRPr="008B49F6">
        <w:t xml:space="preserve"> pour « </w:t>
      </w:r>
      <w:r w:rsidRPr="008B49F6">
        <w:rPr>
          <w:i/>
        </w:rPr>
        <w:t>European Birds of Passage - An Empirical Legal Theory of Temporary Labour Migration in Europe</w:t>
      </w:r>
      <w:r w:rsidRPr="008B49F6">
        <w:t xml:space="preserve"> » (Les oiseaux de passage européens - Pour une théorie juridique empirique de la migration temporaire de travail en Europe).</w:t>
      </w:r>
    </w:p>
    <w:p w:rsidR="008005A0" w:rsidRDefault="008005A0" w:rsidP="00A24D8A">
      <w:pPr>
        <w:jc w:val="both"/>
        <w:rPr>
          <w:sz w:val="22"/>
          <w:szCs w:val="22"/>
        </w:rPr>
      </w:pPr>
    </w:p>
    <w:p w:rsidR="003A37C9" w:rsidRDefault="00DA3D88" w:rsidP="00DA3D88">
      <w:pPr>
        <w:jc w:val="center"/>
        <w:rPr>
          <w:b/>
          <w:sz w:val="22"/>
          <w:szCs w:val="22"/>
        </w:rPr>
      </w:pPr>
      <w:r>
        <w:rPr>
          <w:b/>
          <w:sz w:val="22"/>
          <w:szCs w:val="22"/>
        </w:rPr>
        <w:t>**********</w:t>
      </w:r>
    </w:p>
    <w:p w:rsidR="003A37C9" w:rsidRPr="00DA3D88" w:rsidRDefault="00BB08FA" w:rsidP="003A37C9">
      <w:pPr>
        <w:jc w:val="both"/>
        <w:rPr>
          <w:b/>
          <w:color w:val="0070C0"/>
        </w:rPr>
      </w:pPr>
      <w:r w:rsidRPr="00DA3D88">
        <w:rPr>
          <w:b/>
          <w:color w:val="0070C0"/>
        </w:rPr>
        <w:t xml:space="preserve"># Présentation des projets lauréats </w:t>
      </w:r>
    </w:p>
    <w:p w:rsidR="00BB08FA" w:rsidRPr="009D0701" w:rsidRDefault="00E14EB5" w:rsidP="00BB08FA">
      <w:pPr>
        <w:pStyle w:val="Paragraphedeliste"/>
        <w:ind w:left="284"/>
        <w:jc w:val="both"/>
        <w:rPr>
          <w:sz w:val="22"/>
          <w:szCs w:val="22"/>
        </w:rPr>
      </w:pPr>
      <w:r w:rsidRPr="003A37C9">
        <w:rPr>
          <w:b/>
          <w:i/>
          <w:sz w:val="22"/>
          <w:szCs w:val="22"/>
        </w:rPr>
        <w:t>CereCode</w:t>
      </w:r>
      <w:r w:rsidRPr="003A37C9">
        <w:rPr>
          <w:b/>
          <w:sz w:val="22"/>
          <w:szCs w:val="22"/>
        </w:rPr>
        <w:t xml:space="preserve"> pour étudier les « Calculs neuronaux et la dynamique des populations dans les noyaux cérébelleux au cours des comportements moteurs »</w:t>
      </w:r>
      <w:r w:rsidR="003A37C9">
        <w:rPr>
          <w:b/>
          <w:sz w:val="22"/>
          <w:szCs w:val="22"/>
        </w:rPr>
        <w:t> </w:t>
      </w:r>
      <w:r w:rsidR="00BB08FA" w:rsidRPr="0004413E">
        <w:rPr>
          <w:sz w:val="22"/>
          <w:szCs w:val="22"/>
        </w:rPr>
        <w:t>par</w:t>
      </w:r>
      <w:r w:rsidR="00BB08FA">
        <w:rPr>
          <w:b/>
          <w:sz w:val="22"/>
          <w:szCs w:val="22"/>
        </w:rPr>
        <w:t xml:space="preserve"> Antoine Valera </w:t>
      </w:r>
      <w:r w:rsidR="00BB08FA" w:rsidRPr="009D0701">
        <w:rPr>
          <w:sz w:val="22"/>
          <w:szCs w:val="22"/>
        </w:rPr>
        <w:t xml:space="preserve">neurobiologiste à l’Institut des </w:t>
      </w:r>
      <w:r w:rsidR="00BB08FA">
        <w:rPr>
          <w:sz w:val="22"/>
          <w:szCs w:val="22"/>
        </w:rPr>
        <w:t>n</w:t>
      </w:r>
      <w:r w:rsidR="00BB08FA" w:rsidRPr="009D0701">
        <w:rPr>
          <w:sz w:val="22"/>
          <w:szCs w:val="22"/>
        </w:rPr>
        <w:t xml:space="preserve">eurosciences </w:t>
      </w:r>
      <w:r w:rsidR="00BB08FA">
        <w:rPr>
          <w:sz w:val="22"/>
          <w:szCs w:val="22"/>
        </w:rPr>
        <w:t>c</w:t>
      </w:r>
      <w:r w:rsidR="00BB08FA" w:rsidRPr="009D0701">
        <w:rPr>
          <w:sz w:val="22"/>
          <w:szCs w:val="22"/>
        </w:rPr>
        <w:t xml:space="preserve">ellulaires et </w:t>
      </w:r>
      <w:r w:rsidR="00BB08FA">
        <w:rPr>
          <w:sz w:val="22"/>
          <w:szCs w:val="22"/>
        </w:rPr>
        <w:t>i</w:t>
      </w:r>
      <w:r w:rsidR="00BB08FA" w:rsidRPr="009D0701">
        <w:rPr>
          <w:sz w:val="22"/>
          <w:szCs w:val="22"/>
        </w:rPr>
        <w:t>ntégratives</w:t>
      </w:r>
      <w:r w:rsidR="00BB08FA">
        <w:rPr>
          <w:sz w:val="22"/>
          <w:szCs w:val="22"/>
        </w:rPr>
        <w:t xml:space="preserve"> [</w:t>
      </w:r>
      <w:r w:rsidR="00BB08FA" w:rsidRPr="009D0701">
        <w:rPr>
          <w:sz w:val="22"/>
          <w:szCs w:val="22"/>
        </w:rPr>
        <w:t>INCI, unité de recherche du CNRS</w:t>
      </w:r>
      <w:r w:rsidR="00BB08FA">
        <w:rPr>
          <w:sz w:val="22"/>
          <w:szCs w:val="22"/>
        </w:rPr>
        <w:t>].</w:t>
      </w:r>
    </w:p>
    <w:p w:rsidR="003A37C9" w:rsidRPr="003A37C9" w:rsidRDefault="003A37C9" w:rsidP="003A37C9">
      <w:pPr>
        <w:jc w:val="both"/>
        <w:rPr>
          <w:b/>
          <w:sz w:val="22"/>
          <w:szCs w:val="22"/>
        </w:rPr>
      </w:pPr>
    </w:p>
    <w:p w:rsidR="00E14EB5" w:rsidRPr="00E14EB5" w:rsidRDefault="00E14EB5" w:rsidP="00BB08FA">
      <w:pPr>
        <w:pStyle w:val="Paragraphedeliste"/>
        <w:ind w:left="284"/>
        <w:jc w:val="both"/>
        <w:rPr>
          <w:sz w:val="22"/>
          <w:szCs w:val="22"/>
        </w:rPr>
      </w:pPr>
      <w:r w:rsidRPr="00E14EB5">
        <w:rPr>
          <w:sz w:val="22"/>
          <w:szCs w:val="22"/>
        </w:rPr>
        <w:t xml:space="preserve">Le cervelet est une structure clé du cerveau pour la coordination des mouvements et les apprentissages moteurs. Il permet l’exécution précise de mouvements appris, par exemple lorsque l’on joue d’un instrument de musique. Il peut aussi effectuer des corrections en temps réel lorsqu’un mouvement est perturbé, par exemple si l’on marche sur un terrain accidenté. Il contient plus de la moitié des neurones du cerveau et traite des information sensorielles et motrices provenant de l’ensemble du corps. Les calculs effectués dans le cervelet sont canalisés par une petite structure de sortie, les noyaux profonds cérébelleux. Dans ces noyaux, de petites populations de neurones vont traiter et relayer les calculs effectués dans le cervelet vers de nombreuses autres structures du système nerveux, comme le néocortex et le tronc cérébral.  Or les opérations ayant lieux dans les noyaux profonds cérébelleux, et la façon dont les populations de neurones y codent les mouvements et la correction des erreurs motrices sont mal comprises, car il est difficile d’y enregistrer l’activité neuronale. </w:t>
      </w:r>
    </w:p>
    <w:p w:rsidR="00E14EB5" w:rsidRPr="00E14EB5" w:rsidRDefault="00E14EB5" w:rsidP="00BB08FA">
      <w:pPr>
        <w:pStyle w:val="Paragraphedeliste"/>
        <w:ind w:left="284"/>
        <w:jc w:val="both"/>
        <w:rPr>
          <w:b/>
          <w:sz w:val="22"/>
          <w:szCs w:val="22"/>
        </w:rPr>
      </w:pPr>
      <w:r w:rsidRPr="00E14EB5">
        <w:rPr>
          <w:b/>
          <w:sz w:val="22"/>
          <w:szCs w:val="22"/>
        </w:rPr>
        <w:t xml:space="preserve"> </w:t>
      </w:r>
    </w:p>
    <w:p w:rsidR="00E14EB5" w:rsidRPr="009D0701" w:rsidRDefault="00E14EB5" w:rsidP="00BB08FA">
      <w:pPr>
        <w:pStyle w:val="Paragraphedeliste"/>
        <w:ind w:left="284"/>
        <w:jc w:val="both"/>
        <w:rPr>
          <w:sz w:val="22"/>
          <w:szCs w:val="22"/>
        </w:rPr>
      </w:pPr>
      <w:r w:rsidRPr="00E14EB5">
        <w:rPr>
          <w:b/>
          <w:sz w:val="22"/>
          <w:szCs w:val="22"/>
        </w:rPr>
        <w:t>CereCode</w:t>
      </w:r>
      <w:r w:rsidRPr="00E14EB5">
        <w:rPr>
          <w:sz w:val="22"/>
          <w:szCs w:val="22"/>
        </w:rPr>
        <w:t xml:space="preserve">, un projet de recherche de cinq ans, permettra de mieux comprendre le code neuronal dans les noyaux profonds du cervelet, et de comprendre comment les populations de neurones dans cette structure codent l’information lors de différents mouvements. La barrière technologique qui limitait l’étude de cette structure sera franchie à l’aide d’un nouvel outil d'imagerie 3D utilisant </w:t>
      </w:r>
      <w:r w:rsidR="00DA3D88">
        <w:rPr>
          <w:sz w:val="22"/>
          <w:szCs w:val="22"/>
        </w:rPr>
        <w:br/>
      </w:r>
      <w:r w:rsidRPr="00E14EB5">
        <w:rPr>
          <w:sz w:val="22"/>
          <w:szCs w:val="22"/>
        </w:rPr>
        <w:t xml:space="preserve">l’imagerie 2-photons à lentille acousto-optique, développé par Antoine Valera lors de son post-doctorat à Londres. </w:t>
      </w:r>
      <w:r w:rsidR="009D0701">
        <w:rPr>
          <w:sz w:val="22"/>
          <w:szCs w:val="22"/>
        </w:rPr>
        <w:t xml:space="preserve">Il est aujourd’hui </w:t>
      </w:r>
      <w:r w:rsidR="003A37C9" w:rsidRPr="009D0701">
        <w:rPr>
          <w:sz w:val="22"/>
          <w:szCs w:val="22"/>
        </w:rPr>
        <w:t xml:space="preserve">neurobiologiste à l’Institut des </w:t>
      </w:r>
      <w:r w:rsidR="009D0701">
        <w:rPr>
          <w:sz w:val="22"/>
          <w:szCs w:val="22"/>
        </w:rPr>
        <w:t>n</w:t>
      </w:r>
      <w:r w:rsidR="003A37C9" w:rsidRPr="009D0701">
        <w:rPr>
          <w:sz w:val="22"/>
          <w:szCs w:val="22"/>
        </w:rPr>
        <w:t xml:space="preserve">eurosciences </w:t>
      </w:r>
      <w:r w:rsidR="009D0701">
        <w:rPr>
          <w:sz w:val="22"/>
          <w:szCs w:val="22"/>
        </w:rPr>
        <w:t>c</w:t>
      </w:r>
      <w:r w:rsidR="003A37C9" w:rsidRPr="009D0701">
        <w:rPr>
          <w:sz w:val="22"/>
          <w:szCs w:val="22"/>
        </w:rPr>
        <w:t xml:space="preserve">ellulaires et </w:t>
      </w:r>
      <w:r w:rsidR="009D0701">
        <w:rPr>
          <w:sz w:val="22"/>
          <w:szCs w:val="22"/>
        </w:rPr>
        <w:t>i</w:t>
      </w:r>
      <w:r w:rsidR="003A37C9" w:rsidRPr="009D0701">
        <w:rPr>
          <w:sz w:val="22"/>
          <w:szCs w:val="22"/>
        </w:rPr>
        <w:t>ntégratives, INCI, une unité de recherche du CNRS</w:t>
      </w:r>
      <w:r w:rsidR="009D0701">
        <w:rPr>
          <w:sz w:val="22"/>
          <w:szCs w:val="22"/>
        </w:rPr>
        <w:t>.</w:t>
      </w:r>
    </w:p>
    <w:p w:rsidR="00475724" w:rsidRPr="00A04014" w:rsidRDefault="00475724" w:rsidP="00475724">
      <w:pPr>
        <w:pStyle w:val="Paragraphedeliste"/>
        <w:jc w:val="both"/>
        <w:rPr>
          <w:sz w:val="22"/>
          <w:szCs w:val="22"/>
        </w:rPr>
      </w:pPr>
    </w:p>
    <w:p w:rsidR="005B13CB" w:rsidRDefault="005B13CB" w:rsidP="00A24D8A">
      <w:pPr>
        <w:jc w:val="both"/>
        <w:rPr>
          <w:sz w:val="22"/>
          <w:szCs w:val="22"/>
        </w:rPr>
      </w:pPr>
    </w:p>
    <w:p w:rsidR="00A04014" w:rsidRPr="009D0701" w:rsidRDefault="00A04014" w:rsidP="00BB08FA">
      <w:pPr>
        <w:jc w:val="both"/>
        <w:rPr>
          <w:sz w:val="22"/>
          <w:szCs w:val="22"/>
        </w:rPr>
      </w:pPr>
      <w:r w:rsidRPr="009D0701">
        <w:rPr>
          <w:b/>
          <w:sz w:val="22"/>
          <w:szCs w:val="22"/>
        </w:rPr>
        <w:t>E-BOP</w:t>
      </w:r>
      <w:r w:rsidR="009D0701" w:rsidRPr="009D0701">
        <w:rPr>
          <w:b/>
          <w:sz w:val="22"/>
          <w:szCs w:val="22"/>
        </w:rPr>
        <w:t xml:space="preserve"> : </w:t>
      </w:r>
      <w:r w:rsidR="00475724" w:rsidRPr="009D0701">
        <w:rPr>
          <w:b/>
          <w:sz w:val="22"/>
          <w:szCs w:val="22"/>
        </w:rPr>
        <w:t>European Birds of Passage - An Empirical Legal Theory of Temporary Labour Migration in Europe</w:t>
      </w:r>
      <w:r w:rsidR="00475724" w:rsidRPr="009D0701">
        <w:rPr>
          <w:sz w:val="22"/>
          <w:szCs w:val="22"/>
        </w:rPr>
        <w:t xml:space="preserve"> </w:t>
      </w:r>
      <w:r w:rsidR="009D0701">
        <w:rPr>
          <w:sz w:val="22"/>
          <w:szCs w:val="22"/>
        </w:rPr>
        <w:t xml:space="preserve">par </w:t>
      </w:r>
      <w:r w:rsidR="009D0701" w:rsidRPr="00A04014">
        <w:rPr>
          <w:b/>
          <w:sz w:val="22"/>
          <w:szCs w:val="22"/>
        </w:rPr>
        <w:t>Marco Rocca</w:t>
      </w:r>
      <w:r w:rsidR="009D0701" w:rsidRPr="00A04014">
        <w:rPr>
          <w:sz w:val="22"/>
          <w:szCs w:val="22"/>
        </w:rPr>
        <w:t xml:space="preserve">, </w:t>
      </w:r>
      <w:r w:rsidR="009D0701" w:rsidRPr="003A37C9">
        <w:rPr>
          <w:sz w:val="22"/>
          <w:szCs w:val="22"/>
        </w:rPr>
        <w:t>chercheur CNRS en droit du travail au laboratoire Droit, religion, entreprise et société</w:t>
      </w:r>
      <w:r w:rsidR="00BB08FA">
        <w:rPr>
          <w:sz w:val="22"/>
          <w:szCs w:val="22"/>
        </w:rPr>
        <w:t xml:space="preserve"> (DRES, </w:t>
      </w:r>
      <w:r w:rsidR="009D0701" w:rsidRPr="003A37C9">
        <w:rPr>
          <w:sz w:val="22"/>
          <w:szCs w:val="22"/>
        </w:rPr>
        <w:t>unité de recherche du CNRS et de l’université de Strasbourg</w:t>
      </w:r>
      <w:r w:rsidR="00BB08FA">
        <w:rPr>
          <w:sz w:val="22"/>
          <w:szCs w:val="22"/>
        </w:rPr>
        <w:t>].</w:t>
      </w:r>
    </w:p>
    <w:p w:rsidR="00475724" w:rsidRDefault="00475724" w:rsidP="00475724">
      <w:pPr>
        <w:pStyle w:val="Paragraphedeliste"/>
        <w:jc w:val="both"/>
        <w:rPr>
          <w:sz w:val="22"/>
          <w:szCs w:val="22"/>
        </w:rPr>
      </w:pPr>
    </w:p>
    <w:p w:rsidR="00475724" w:rsidRPr="00475724" w:rsidRDefault="00475724" w:rsidP="00BB08FA">
      <w:pPr>
        <w:pStyle w:val="Paragraphedeliste"/>
        <w:ind w:left="284"/>
        <w:jc w:val="both"/>
        <w:rPr>
          <w:sz w:val="22"/>
          <w:szCs w:val="22"/>
        </w:rPr>
      </w:pPr>
      <w:r w:rsidRPr="00475724">
        <w:rPr>
          <w:sz w:val="22"/>
          <w:szCs w:val="22"/>
        </w:rPr>
        <w:t xml:space="preserve">La migration temporaire de travail peut être vue comme un compromis entre les appels à "reprendre le contrôle" des frontières et les demandes des employeurs d'accéder à la main-d'œuvre migrante. C’est un sujet très débattu mais qui fait l'objet de recherches inégales. Le projet E-BoP étudie donc le cadre juridique de la migration temporaire de travail dans l'Union européenne (UE), s’intéressant à la fois à la migration en provenance des Etats membres de l’UE et des pays tiers. Ce cadre juridique couvre le détachement des travailleurs, le travail saisonnier et les transferts </w:t>
      </w:r>
      <w:r>
        <w:rPr>
          <w:sz w:val="22"/>
          <w:szCs w:val="22"/>
        </w:rPr>
        <w:t>entre filiales d’une même société</w:t>
      </w:r>
      <w:r w:rsidRPr="00475724">
        <w:rPr>
          <w:sz w:val="22"/>
          <w:szCs w:val="22"/>
        </w:rPr>
        <w:t>.</w:t>
      </w:r>
    </w:p>
    <w:p w:rsidR="00475724" w:rsidRPr="00475724" w:rsidRDefault="00475724" w:rsidP="00BB08FA">
      <w:pPr>
        <w:pStyle w:val="Paragraphedeliste"/>
        <w:ind w:left="284"/>
        <w:jc w:val="both"/>
        <w:rPr>
          <w:sz w:val="22"/>
          <w:szCs w:val="22"/>
        </w:rPr>
      </w:pPr>
    </w:p>
    <w:p w:rsidR="00475724" w:rsidRPr="00475724" w:rsidRDefault="00475724" w:rsidP="00BB08FA">
      <w:pPr>
        <w:pStyle w:val="Paragraphedeliste"/>
        <w:ind w:left="284"/>
        <w:jc w:val="both"/>
        <w:rPr>
          <w:sz w:val="22"/>
          <w:szCs w:val="22"/>
        </w:rPr>
      </w:pPr>
      <w:r w:rsidRPr="00BB08FA">
        <w:rPr>
          <w:b/>
          <w:sz w:val="22"/>
          <w:szCs w:val="22"/>
        </w:rPr>
        <w:t>E-BoP</w:t>
      </w:r>
      <w:r w:rsidRPr="00475724">
        <w:rPr>
          <w:sz w:val="22"/>
          <w:szCs w:val="22"/>
        </w:rPr>
        <w:t xml:space="preserve"> s’intéressera aux concepts sur lesquels la réglementation juridique se fonde, tels que le "caractère temporaire" et le "marché du travail", qui ne sont pas en tant que tels des concepts juridiques ni définis par la loi. L’équipe E-BoP mènera ainsi une analyse juridique empirique, en abordant les tensions entre la réglementation juridique et la réalité empirique, identifié grâce à l’analyse quantitative de la migration temporaire.</w:t>
      </w:r>
    </w:p>
    <w:p w:rsidR="00BB08FA" w:rsidRDefault="00BB08FA" w:rsidP="00BB08FA">
      <w:pPr>
        <w:pStyle w:val="Paragraphedeliste"/>
        <w:ind w:left="284"/>
        <w:jc w:val="both"/>
        <w:rPr>
          <w:sz w:val="22"/>
          <w:szCs w:val="22"/>
        </w:rPr>
      </w:pPr>
    </w:p>
    <w:p w:rsidR="00475724" w:rsidRPr="00475724" w:rsidRDefault="00475724" w:rsidP="00BB08FA">
      <w:pPr>
        <w:pStyle w:val="Paragraphedeliste"/>
        <w:ind w:left="284"/>
        <w:jc w:val="both"/>
        <w:rPr>
          <w:sz w:val="22"/>
          <w:szCs w:val="22"/>
        </w:rPr>
      </w:pPr>
      <w:r w:rsidRPr="00475724">
        <w:rPr>
          <w:sz w:val="22"/>
          <w:szCs w:val="22"/>
        </w:rPr>
        <w:t xml:space="preserve">Le projet vise à répondre à une série de questions dont : </w:t>
      </w:r>
    </w:p>
    <w:p w:rsidR="00475724" w:rsidRPr="00475724" w:rsidRDefault="00475724" w:rsidP="00BB08FA">
      <w:pPr>
        <w:pStyle w:val="Paragraphedeliste"/>
        <w:ind w:left="284"/>
        <w:jc w:val="both"/>
        <w:rPr>
          <w:sz w:val="22"/>
          <w:szCs w:val="22"/>
        </w:rPr>
      </w:pPr>
      <w:r w:rsidRPr="00475724">
        <w:rPr>
          <w:sz w:val="22"/>
          <w:szCs w:val="22"/>
        </w:rPr>
        <w:t>-</w:t>
      </w:r>
      <w:r>
        <w:rPr>
          <w:sz w:val="22"/>
          <w:szCs w:val="22"/>
        </w:rPr>
        <w:t xml:space="preserve"> </w:t>
      </w:r>
      <w:r w:rsidRPr="00475724">
        <w:rPr>
          <w:sz w:val="22"/>
          <w:szCs w:val="22"/>
        </w:rPr>
        <w:t>La loi identifie-t-elle les travailleurs migrants temporaires, ou les crée-t-elle ?</w:t>
      </w:r>
    </w:p>
    <w:p w:rsidR="00475724" w:rsidRPr="00475724" w:rsidRDefault="00475724" w:rsidP="00BB08FA">
      <w:pPr>
        <w:pStyle w:val="Paragraphedeliste"/>
        <w:ind w:left="284"/>
        <w:jc w:val="both"/>
        <w:rPr>
          <w:sz w:val="22"/>
          <w:szCs w:val="22"/>
        </w:rPr>
      </w:pPr>
      <w:r w:rsidRPr="00475724">
        <w:rPr>
          <w:sz w:val="22"/>
          <w:szCs w:val="22"/>
        </w:rPr>
        <w:t xml:space="preserve">- </w:t>
      </w:r>
      <w:r>
        <w:rPr>
          <w:sz w:val="22"/>
          <w:szCs w:val="22"/>
        </w:rPr>
        <w:t>Q</w:t>
      </w:r>
      <w:r w:rsidRPr="00475724">
        <w:rPr>
          <w:sz w:val="22"/>
          <w:szCs w:val="22"/>
        </w:rPr>
        <w:t xml:space="preserve">uelles seraient les conséquences si les travailleurs migrants temporaires deviennent pleinement intégrés dans l'État membre où ils exercent leur activité ? </w:t>
      </w:r>
    </w:p>
    <w:p w:rsidR="00475724" w:rsidRDefault="00475724" w:rsidP="00BB08FA">
      <w:pPr>
        <w:pStyle w:val="Paragraphedeliste"/>
        <w:ind w:left="284"/>
        <w:jc w:val="both"/>
        <w:rPr>
          <w:sz w:val="22"/>
          <w:szCs w:val="22"/>
        </w:rPr>
      </w:pPr>
      <w:r w:rsidRPr="00475724">
        <w:rPr>
          <w:sz w:val="22"/>
          <w:szCs w:val="22"/>
        </w:rPr>
        <w:t xml:space="preserve">- </w:t>
      </w:r>
      <w:r>
        <w:rPr>
          <w:sz w:val="22"/>
          <w:szCs w:val="22"/>
        </w:rPr>
        <w:t>C</w:t>
      </w:r>
      <w:r w:rsidRPr="00475724">
        <w:rPr>
          <w:sz w:val="22"/>
          <w:szCs w:val="22"/>
        </w:rPr>
        <w:t>omment la construction juridique influence les statistiques de l'emploi, conduisant au sous-comptage des travailleurs migrants temporaires ?</w:t>
      </w:r>
    </w:p>
    <w:p w:rsidR="00A04014" w:rsidRDefault="00A04014" w:rsidP="00A24D8A">
      <w:pPr>
        <w:jc w:val="both"/>
        <w:rPr>
          <w:sz w:val="22"/>
          <w:szCs w:val="22"/>
        </w:rPr>
      </w:pPr>
    </w:p>
    <w:p w:rsidR="008B49F6" w:rsidRDefault="008B49F6" w:rsidP="00E14EB5">
      <w:pPr>
        <w:jc w:val="both"/>
        <w:rPr>
          <w:b/>
          <w:color w:val="0070C0"/>
        </w:rPr>
      </w:pPr>
    </w:p>
    <w:p w:rsidR="008B49F6" w:rsidRPr="00923036" w:rsidRDefault="00BB08FA" w:rsidP="00A24D8A">
      <w:pPr>
        <w:jc w:val="both"/>
        <w:rPr>
          <w:b/>
          <w:color w:val="0070C0"/>
        </w:rPr>
      </w:pPr>
      <w:r w:rsidRPr="00DA3D88">
        <w:rPr>
          <w:b/>
          <w:color w:val="0070C0"/>
        </w:rPr>
        <w:t xml:space="preserve"># </w:t>
      </w:r>
      <w:r w:rsidR="00E14EB5" w:rsidRPr="00DA3D88">
        <w:rPr>
          <w:b/>
          <w:color w:val="0070C0"/>
        </w:rPr>
        <w:t>A propos des</w:t>
      </w:r>
      <w:r w:rsidR="00A04014" w:rsidRPr="00DA3D88">
        <w:rPr>
          <w:b/>
          <w:color w:val="0070C0"/>
        </w:rPr>
        <w:t xml:space="preserve"> </w:t>
      </w:r>
      <w:r w:rsidR="005B13CB" w:rsidRPr="00DA3D88">
        <w:rPr>
          <w:b/>
          <w:color w:val="0070C0"/>
        </w:rPr>
        <w:t>Starting grant</w:t>
      </w:r>
      <w:r w:rsidR="0004413E">
        <w:rPr>
          <w:b/>
          <w:color w:val="0070C0"/>
        </w:rPr>
        <w:t>s</w:t>
      </w:r>
      <w:r w:rsidR="00A04014" w:rsidRPr="00DA3D88">
        <w:rPr>
          <w:b/>
          <w:color w:val="0070C0"/>
        </w:rPr>
        <w:t xml:space="preserve"> du Conseil européen de la recherche (ERC)</w:t>
      </w:r>
      <w:r w:rsidR="003A37C9" w:rsidRPr="00DA3D88">
        <w:rPr>
          <w:b/>
          <w:color w:val="0070C0"/>
        </w:rPr>
        <w:t> :</w:t>
      </w:r>
    </w:p>
    <w:p w:rsidR="00BB08FA" w:rsidRDefault="008005A0" w:rsidP="00A24D8A">
      <w:pPr>
        <w:jc w:val="both"/>
        <w:rPr>
          <w:sz w:val="22"/>
          <w:szCs w:val="22"/>
        </w:rPr>
      </w:pPr>
      <w:r w:rsidRPr="00434A1F">
        <w:rPr>
          <w:sz w:val="22"/>
          <w:szCs w:val="22"/>
        </w:rPr>
        <w:t>Ce financement entend soutenir des projets de recherche exploratoire sur une durée maximale de 5 ans et avec un budget de 1.5 million d'euros</w:t>
      </w:r>
      <w:r w:rsidRPr="00F72895">
        <w:rPr>
          <w:sz w:val="22"/>
          <w:szCs w:val="22"/>
        </w:rPr>
        <w:t xml:space="preserve">. </w:t>
      </w:r>
      <w:r w:rsidRPr="00434A1F">
        <w:rPr>
          <w:sz w:val="22"/>
          <w:szCs w:val="22"/>
        </w:rPr>
        <w:t xml:space="preserve">Il s’adresse à des scientifiques ayant obtenu leur doctorat il y a 2 à 7 ans. </w:t>
      </w:r>
    </w:p>
    <w:p w:rsidR="008005A0" w:rsidRPr="00434A1F" w:rsidRDefault="008005A0" w:rsidP="00A24D8A">
      <w:pPr>
        <w:jc w:val="both"/>
        <w:rPr>
          <w:sz w:val="22"/>
          <w:szCs w:val="22"/>
        </w:rPr>
      </w:pPr>
      <w:r w:rsidRPr="00434A1F">
        <w:rPr>
          <w:sz w:val="22"/>
          <w:szCs w:val="22"/>
        </w:rPr>
        <w:t>Les bourses « Starting » sont le premier type de financement européen accessible aux jeunes chercheurs et chercheuses, avant les bourses « Consolidator » (jusqu’à 2 millions d’euros et 7 à 12 ans après le doctorat) et « Advanced » (jusqu’à 2,5 millions d’euros, pour les chercheurs confirmés).</w:t>
      </w:r>
    </w:p>
    <w:p w:rsidR="008005A0" w:rsidRDefault="008005A0" w:rsidP="00A24D8A">
      <w:pPr>
        <w:jc w:val="both"/>
        <w:rPr>
          <w:sz w:val="22"/>
          <w:szCs w:val="22"/>
        </w:rPr>
      </w:pPr>
    </w:p>
    <w:p w:rsidR="00BB08FA" w:rsidRPr="00BB08FA" w:rsidRDefault="00BB08FA" w:rsidP="00A24D8A">
      <w:pPr>
        <w:jc w:val="both"/>
        <w:rPr>
          <w:b/>
          <w:sz w:val="22"/>
          <w:szCs w:val="22"/>
        </w:rPr>
      </w:pPr>
      <w:r w:rsidRPr="00BB08FA">
        <w:rPr>
          <w:b/>
          <w:sz w:val="22"/>
          <w:szCs w:val="22"/>
        </w:rPr>
        <w:t xml:space="preserve">Un financement de l’excellence sélectif </w:t>
      </w:r>
    </w:p>
    <w:p w:rsidR="008B49F6" w:rsidRDefault="005B13CB" w:rsidP="00A24D8A">
      <w:pPr>
        <w:jc w:val="both"/>
        <w:rPr>
          <w:sz w:val="22"/>
          <w:szCs w:val="22"/>
        </w:rPr>
      </w:pPr>
      <w:r w:rsidRPr="00434A1F">
        <w:rPr>
          <w:sz w:val="22"/>
          <w:szCs w:val="22"/>
        </w:rPr>
        <w:t xml:space="preserve">En 2021, le Conseil européen de la recherche (ERC) a sélectionné 397 scientifiques en Europe qui ont obtenu une bourse « Starting », pour un montant total de 619 millions d'euros tirés du </w:t>
      </w:r>
      <w:r w:rsidR="00BD10FD">
        <w:rPr>
          <w:sz w:val="22"/>
          <w:szCs w:val="22"/>
        </w:rPr>
        <w:t xml:space="preserve">nouveau </w:t>
      </w:r>
      <w:r w:rsidRPr="00434A1F">
        <w:rPr>
          <w:sz w:val="22"/>
          <w:szCs w:val="22"/>
        </w:rPr>
        <w:t xml:space="preserve">programme cadre Horizon Europe. </w:t>
      </w:r>
    </w:p>
    <w:p w:rsidR="005B13CB" w:rsidRPr="00434A1F" w:rsidRDefault="005B13CB" w:rsidP="00A24D8A">
      <w:pPr>
        <w:jc w:val="both"/>
        <w:rPr>
          <w:sz w:val="22"/>
          <w:szCs w:val="22"/>
        </w:rPr>
      </w:pPr>
      <w:r w:rsidRPr="00434A1F">
        <w:rPr>
          <w:sz w:val="22"/>
          <w:szCs w:val="22"/>
        </w:rPr>
        <w:t>Le Conseil avait reçu 4 016 candidatures, soit un taux de succès de 9,9 %.</w:t>
      </w:r>
    </w:p>
    <w:p w:rsidR="005B13CB" w:rsidRPr="00434A1F" w:rsidRDefault="005B13CB" w:rsidP="00A24D8A">
      <w:pPr>
        <w:jc w:val="both"/>
        <w:rPr>
          <w:sz w:val="22"/>
          <w:szCs w:val="22"/>
        </w:rPr>
      </w:pPr>
    </w:p>
    <w:p w:rsidR="008005A0" w:rsidRPr="00434A1F" w:rsidRDefault="008005A0" w:rsidP="00A24D8A">
      <w:pPr>
        <w:jc w:val="both"/>
        <w:rPr>
          <w:sz w:val="22"/>
          <w:szCs w:val="22"/>
        </w:rPr>
      </w:pPr>
      <w:r w:rsidRPr="00434A1F">
        <w:rPr>
          <w:sz w:val="22"/>
          <w:szCs w:val="22"/>
        </w:rPr>
        <w:t>L’ensemble des lauréats sont issus de 22 pays de l’Union Européennes et associés, notamment l'Allemagne (72 projets), la France (53), le Royaume-Uni (46) et les Pays-Bas (44).</w:t>
      </w:r>
    </w:p>
    <w:p w:rsidR="008005A0" w:rsidRPr="00627DF0" w:rsidRDefault="008005A0" w:rsidP="00A24D8A">
      <w:pPr>
        <w:jc w:val="both"/>
        <w:rPr>
          <w:sz w:val="22"/>
          <w:szCs w:val="22"/>
        </w:rPr>
      </w:pPr>
    </w:p>
    <w:p w:rsidR="008005A0" w:rsidRPr="00627DF0" w:rsidRDefault="008B49F6" w:rsidP="00A24D8A">
      <w:pPr>
        <w:jc w:val="both"/>
        <w:rPr>
          <w:sz w:val="22"/>
          <w:szCs w:val="22"/>
        </w:rPr>
      </w:pPr>
      <w:r>
        <w:rPr>
          <w:sz w:val="22"/>
          <w:szCs w:val="22"/>
        </w:rPr>
        <w:t>Avec 26 projets lauréats, le</w:t>
      </w:r>
      <w:r w:rsidR="008005A0" w:rsidRPr="00627DF0">
        <w:rPr>
          <w:sz w:val="22"/>
          <w:szCs w:val="22"/>
        </w:rPr>
        <w:t xml:space="preserve"> CNRS affirme sa force </w:t>
      </w:r>
      <w:r w:rsidR="008005A0">
        <w:rPr>
          <w:sz w:val="22"/>
          <w:szCs w:val="22"/>
        </w:rPr>
        <w:t>en termes de capacité de réponse aux</w:t>
      </w:r>
      <w:r w:rsidR="008005A0" w:rsidRPr="00627DF0">
        <w:rPr>
          <w:sz w:val="22"/>
          <w:szCs w:val="22"/>
        </w:rPr>
        <w:t xml:space="preserve"> candidature</w:t>
      </w:r>
      <w:r w:rsidR="008005A0">
        <w:rPr>
          <w:sz w:val="22"/>
          <w:szCs w:val="22"/>
        </w:rPr>
        <w:t>s</w:t>
      </w:r>
      <w:r w:rsidR="008005A0" w:rsidRPr="00627DF0">
        <w:rPr>
          <w:sz w:val="22"/>
          <w:szCs w:val="22"/>
        </w:rPr>
        <w:t xml:space="preserve"> ERC avec un taux de succès de 19,3 %.</w:t>
      </w:r>
    </w:p>
    <w:p w:rsidR="008B49F6" w:rsidRDefault="008B49F6">
      <w:pPr>
        <w:rPr>
          <w:b/>
          <w:sz w:val="22"/>
          <w:szCs w:val="22"/>
        </w:rPr>
      </w:pPr>
    </w:p>
    <w:p w:rsidR="008B49F6" w:rsidRDefault="008B49F6">
      <w:pPr>
        <w:rPr>
          <w:b/>
          <w:sz w:val="22"/>
          <w:szCs w:val="22"/>
        </w:rPr>
      </w:pPr>
    </w:p>
    <w:p w:rsidR="00A24D8A" w:rsidRPr="008B49F6" w:rsidRDefault="005B13CB">
      <w:pPr>
        <w:rPr>
          <w:b/>
          <w:color w:val="0070C0"/>
        </w:rPr>
      </w:pPr>
      <w:r w:rsidRPr="008B49F6">
        <w:rPr>
          <w:b/>
          <w:color w:val="0070C0"/>
        </w:rPr>
        <w:t>Plus d’information</w:t>
      </w:r>
      <w:r w:rsidR="00A24D8A" w:rsidRPr="008B49F6">
        <w:rPr>
          <w:b/>
          <w:color w:val="0070C0"/>
        </w:rPr>
        <w:t> :</w:t>
      </w:r>
    </w:p>
    <w:p w:rsidR="008005A0" w:rsidRDefault="00CE0154">
      <w:pPr>
        <w:rPr>
          <w:sz w:val="22"/>
          <w:szCs w:val="22"/>
        </w:rPr>
      </w:pPr>
      <w:r>
        <w:rPr>
          <w:sz w:val="22"/>
          <w:szCs w:val="22"/>
        </w:rPr>
        <w:t>C</w:t>
      </w:r>
      <w:r w:rsidR="005B13CB">
        <w:rPr>
          <w:sz w:val="22"/>
          <w:szCs w:val="22"/>
        </w:rPr>
        <w:t xml:space="preserve">ommuniqué de presse CNRS : </w:t>
      </w:r>
      <w:hyperlink r:id="rId9" w:history="1">
        <w:r w:rsidR="008B49F6" w:rsidRPr="005D70B0">
          <w:rPr>
            <w:rStyle w:val="Lienhypertexte"/>
            <w:sz w:val="22"/>
            <w:szCs w:val="22"/>
          </w:rPr>
          <w:t>https://www.cnrs.fr/fr/cnrsinfo/26-laureats-cnrs-lappel-erc-starting-2021</w:t>
        </w:r>
      </w:hyperlink>
    </w:p>
    <w:p w:rsidR="00A24D8A" w:rsidRDefault="00A24D8A">
      <w:pPr>
        <w:rPr>
          <w:sz w:val="22"/>
          <w:szCs w:val="22"/>
        </w:rPr>
      </w:pPr>
      <w:r>
        <w:rPr>
          <w:sz w:val="22"/>
          <w:szCs w:val="22"/>
        </w:rPr>
        <w:t xml:space="preserve">European Research Council : </w:t>
      </w:r>
      <w:hyperlink r:id="rId10" w:history="1">
        <w:r w:rsidR="00CE0154" w:rsidRPr="00B90049">
          <w:rPr>
            <w:rStyle w:val="Lienhypertexte"/>
            <w:sz w:val="22"/>
            <w:szCs w:val="22"/>
          </w:rPr>
          <w:t>https://erc.europa.eu/news/erc-2021-starting-grants-results</w:t>
        </w:r>
      </w:hyperlink>
    </w:p>
    <w:p w:rsidR="00B463FE" w:rsidRDefault="00B463FE">
      <w:pPr>
        <w:rPr>
          <w:sz w:val="22"/>
          <w:szCs w:val="22"/>
        </w:rPr>
      </w:pPr>
    </w:p>
    <w:p w:rsidR="008B49F6" w:rsidRDefault="008B49F6">
      <w:pPr>
        <w:spacing w:after="160" w:line="259" w:lineRule="auto"/>
        <w:rPr>
          <w:b/>
          <w:color w:val="0070C0"/>
          <w:sz w:val="22"/>
          <w:szCs w:val="22"/>
        </w:rPr>
      </w:pPr>
    </w:p>
    <w:p w:rsidR="00B463FE" w:rsidRPr="00765193" w:rsidRDefault="00E14EB5" w:rsidP="00BB08FA">
      <w:pPr>
        <w:pBdr>
          <w:bottom w:val="single" w:sz="4" w:space="1" w:color="auto"/>
        </w:pBdr>
        <w:rPr>
          <w:b/>
          <w:color w:val="0070C0"/>
        </w:rPr>
      </w:pPr>
      <w:r w:rsidRPr="00765193">
        <w:rPr>
          <w:b/>
          <w:color w:val="0070C0"/>
        </w:rPr>
        <w:lastRenderedPageBreak/>
        <w:t>C</w:t>
      </w:r>
      <w:r w:rsidR="00B463FE" w:rsidRPr="00765193">
        <w:rPr>
          <w:b/>
          <w:color w:val="0070C0"/>
        </w:rPr>
        <w:t xml:space="preserve">ontacts </w:t>
      </w:r>
      <w:r w:rsidR="008668A3" w:rsidRPr="00765193">
        <w:rPr>
          <w:b/>
          <w:color w:val="0070C0"/>
        </w:rPr>
        <w:t xml:space="preserve">presse </w:t>
      </w:r>
      <w:r w:rsidR="00B463FE" w:rsidRPr="00765193">
        <w:rPr>
          <w:b/>
          <w:color w:val="0070C0"/>
        </w:rPr>
        <w:t xml:space="preserve">: </w:t>
      </w:r>
    </w:p>
    <w:p w:rsidR="008668A3" w:rsidRDefault="008668A3" w:rsidP="00B463FE">
      <w:pPr>
        <w:rPr>
          <w:b/>
          <w:sz w:val="22"/>
          <w:szCs w:val="22"/>
        </w:rPr>
      </w:pPr>
    </w:p>
    <w:p w:rsidR="00B463FE" w:rsidRDefault="00B463FE" w:rsidP="00B463FE">
      <w:pPr>
        <w:rPr>
          <w:sz w:val="22"/>
          <w:szCs w:val="22"/>
        </w:rPr>
      </w:pPr>
      <w:r w:rsidRPr="008668A3">
        <w:rPr>
          <w:b/>
          <w:sz w:val="22"/>
          <w:szCs w:val="22"/>
        </w:rPr>
        <w:t>Antoine Val</w:t>
      </w:r>
      <w:r w:rsidR="00E9296C">
        <w:rPr>
          <w:b/>
          <w:sz w:val="22"/>
          <w:szCs w:val="22"/>
        </w:rPr>
        <w:t>e</w:t>
      </w:r>
      <w:r w:rsidRPr="008668A3">
        <w:rPr>
          <w:b/>
          <w:sz w:val="22"/>
          <w:szCs w:val="22"/>
        </w:rPr>
        <w:t>ra</w:t>
      </w:r>
      <w:r w:rsidRPr="00B463FE">
        <w:rPr>
          <w:sz w:val="22"/>
          <w:szCs w:val="22"/>
        </w:rPr>
        <w:t>, neurobiologiste à l’Institut des neurosciences cellulaires et intégratives, INCI, unité de recherche du CNRS</w:t>
      </w:r>
      <w:r w:rsidR="00A04014">
        <w:rPr>
          <w:sz w:val="22"/>
          <w:szCs w:val="22"/>
        </w:rPr>
        <w:t> </w:t>
      </w:r>
      <w:r w:rsidR="00A24D8A">
        <w:rPr>
          <w:rFonts w:cstheme="minorHAnsi"/>
          <w:sz w:val="22"/>
          <w:szCs w:val="22"/>
        </w:rPr>
        <w:t>ǀ</w:t>
      </w:r>
      <w:r w:rsidR="00A04014">
        <w:rPr>
          <w:sz w:val="22"/>
          <w:szCs w:val="22"/>
        </w:rPr>
        <w:t xml:space="preserve"> </w:t>
      </w:r>
      <w:bookmarkStart w:id="1" w:name="_Hlk92717488"/>
      <w:r w:rsidR="00AA515B" w:rsidRPr="00A24D8A">
        <w:fldChar w:fldCharType="begin"/>
      </w:r>
      <w:r w:rsidR="00AA515B" w:rsidRPr="00A24D8A">
        <w:rPr>
          <w:color w:val="002060"/>
        </w:rPr>
        <w:instrText xml:space="preserve"> HYPERLINK "mailto:avalera@unistra.fr" </w:instrText>
      </w:r>
      <w:r w:rsidR="00AA515B" w:rsidRPr="00A24D8A">
        <w:fldChar w:fldCharType="separate"/>
      </w:r>
      <w:r w:rsidR="00A04014" w:rsidRPr="00A24D8A">
        <w:rPr>
          <w:rStyle w:val="Lienhypertexte"/>
          <w:color w:val="002060"/>
          <w:sz w:val="22"/>
          <w:szCs w:val="22"/>
          <w:u w:val="none"/>
        </w:rPr>
        <w:t>avalera@unistra.fr</w:t>
      </w:r>
      <w:r w:rsidR="00AA515B" w:rsidRPr="00A24D8A">
        <w:rPr>
          <w:rStyle w:val="Lienhypertexte"/>
          <w:color w:val="002060"/>
          <w:sz w:val="22"/>
          <w:szCs w:val="22"/>
          <w:u w:val="none"/>
        </w:rPr>
        <w:fldChar w:fldCharType="end"/>
      </w:r>
      <w:r w:rsidR="00BB08FA">
        <w:rPr>
          <w:rStyle w:val="Lienhypertexte"/>
          <w:color w:val="002060"/>
          <w:sz w:val="22"/>
          <w:szCs w:val="22"/>
          <w:u w:val="none"/>
        </w:rPr>
        <w:t xml:space="preserve"> |  </w:t>
      </w:r>
      <w:r w:rsidR="008668A3">
        <w:rPr>
          <w:sz w:val="22"/>
          <w:szCs w:val="22"/>
        </w:rPr>
        <w:t xml:space="preserve">/!\ joignable </w:t>
      </w:r>
      <w:r w:rsidR="008668A3" w:rsidRPr="00B463FE">
        <w:rPr>
          <w:sz w:val="22"/>
          <w:szCs w:val="22"/>
        </w:rPr>
        <w:t>à partir de mercredi 12 janvier 2022</w:t>
      </w:r>
      <w:r w:rsidR="008668A3">
        <w:rPr>
          <w:sz w:val="22"/>
          <w:szCs w:val="22"/>
        </w:rPr>
        <w:t> </w:t>
      </w:r>
    </w:p>
    <w:bookmarkEnd w:id="1"/>
    <w:p w:rsidR="008668A3" w:rsidRDefault="008668A3" w:rsidP="00B463FE">
      <w:pPr>
        <w:rPr>
          <w:sz w:val="22"/>
          <w:szCs w:val="22"/>
        </w:rPr>
      </w:pPr>
    </w:p>
    <w:p w:rsidR="00A04014" w:rsidRDefault="00A04014" w:rsidP="00475724">
      <w:pPr>
        <w:rPr>
          <w:rFonts w:cstheme="minorHAnsi"/>
          <w:sz w:val="22"/>
          <w:szCs w:val="22"/>
        </w:rPr>
      </w:pPr>
      <w:r w:rsidRPr="008668A3">
        <w:rPr>
          <w:b/>
          <w:sz w:val="22"/>
          <w:szCs w:val="22"/>
        </w:rPr>
        <w:t>Marco Rocca</w:t>
      </w:r>
      <w:r w:rsidR="008668A3">
        <w:rPr>
          <w:sz w:val="22"/>
          <w:szCs w:val="22"/>
        </w:rPr>
        <w:t xml:space="preserve">, </w:t>
      </w:r>
      <w:r w:rsidR="00475724" w:rsidRPr="00475724">
        <w:rPr>
          <w:sz w:val="22"/>
          <w:szCs w:val="22"/>
        </w:rPr>
        <w:t xml:space="preserve">chercheur CNRS en droit du travail </w:t>
      </w:r>
      <w:r w:rsidR="008668A3">
        <w:rPr>
          <w:sz w:val="22"/>
          <w:szCs w:val="22"/>
        </w:rPr>
        <w:t>au</w:t>
      </w:r>
      <w:r w:rsidR="008668A3" w:rsidRPr="008668A3">
        <w:rPr>
          <w:sz w:val="22"/>
          <w:szCs w:val="22"/>
        </w:rPr>
        <w:t xml:space="preserve"> </w:t>
      </w:r>
      <w:r w:rsidR="008668A3" w:rsidRPr="00A04014">
        <w:rPr>
          <w:sz w:val="22"/>
          <w:szCs w:val="22"/>
        </w:rPr>
        <w:t>laboratoire Droit, religion, entreprise et société, DRES (unité de recherche du CNRS et de l’université de Strasbourg)</w:t>
      </w:r>
      <w:r>
        <w:rPr>
          <w:sz w:val="22"/>
          <w:szCs w:val="22"/>
        </w:rPr>
        <w:t> </w:t>
      </w:r>
      <w:r w:rsidR="00A24D8A">
        <w:rPr>
          <w:rFonts w:cstheme="minorHAnsi"/>
          <w:sz w:val="22"/>
          <w:szCs w:val="22"/>
        </w:rPr>
        <w:t>ǀ</w:t>
      </w:r>
      <w:r w:rsidR="00A24D8A">
        <w:rPr>
          <w:sz w:val="22"/>
          <w:szCs w:val="22"/>
        </w:rPr>
        <w:t xml:space="preserve"> </w:t>
      </w:r>
      <w:hyperlink r:id="rId11" w:history="1">
        <w:r w:rsidR="008668A3" w:rsidRPr="00B90049">
          <w:rPr>
            <w:rStyle w:val="Lienhypertexte"/>
            <w:sz w:val="22"/>
            <w:szCs w:val="22"/>
          </w:rPr>
          <w:t>mrocca@unistra.fr</w:t>
        </w:r>
      </w:hyperlink>
      <w:r w:rsidR="008668A3">
        <w:rPr>
          <w:sz w:val="22"/>
          <w:szCs w:val="22"/>
        </w:rPr>
        <w:t xml:space="preserve"> </w:t>
      </w:r>
      <w:r w:rsidR="008668A3">
        <w:rPr>
          <w:rFonts w:cstheme="minorHAnsi"/>
          <w:sz w:val="22"/>
          <w:szCs w:val="22"/>
        </w:rPr>
        <w:t>ǀ</w:t>
      </w:r>
      <w:r w:rsidR="00475724">
        <w:rPr>
          <w:rFonts w:cstheme="minorHAnsi"/>
          <w:sz w:val="22"/>
          <w:szCs w:val="22"/>
        </w:rPr>
        <w:t xml:space="preserve"> </w:t>
      </w:r>
      <w:hyperlink r:id="rId12" w:history="1">
        <w:r w:rsidR="008B49F6" w:rsidRPr="005D70B0">
          <w:rPr>
            <w:rStyle w:val="Lienhypertexte"/>
            <w:rFonts w:cstheme="minorHAnsi"/>
            <w:sz w:val="22"/>
            <w:szCs w:val="22"/>
          </w:rPr>
          <w:t>https://twitter.com/MarcoRocca_</w:t>
        </w:r>
      </w:hyperlink>
      <w:r w:rsidR="008B49F6">
        <w:rPr>
          <w:rFonts w:cstheme="minorHAnsi"/>
          <w:sz w:val="22"/>
          <w:szCs w:val="22"/>
        </w:rPr>
        <w:t xml:space="preserve"> |  </w:t>
      </w:r>
      <w:hyperlink r:id="rId13" w:history="1">
        <w:r w:rsidR="008B49F6" w:rsidRPr="005D70B0">
          <w:rPr>
            <w:rStyle w:val="Lienhypertexte"/>
            <w:rFonts w:cstheme="minorHAnsi"/>
            <w:sz w:val="22"/>
            <w:szCs w:val="22"/>
          </w:rPr>
          <w:t>https://marcorocca.wordpress.com/</w:t>
        </w:r>
      </w:hyperlink>
    </w:p>
    <w:p w:rsidR="008668A3" w:rsidRDefault="008668A3" w:rsidP="00B463FE">
      <w:pPr>
        <w:rPr>
          <w:sz w:val="22"/>
          <w:szCs w:val="22"/>
        </w:rPr>
      </w:pPr>
    </w:p>
    <w:p w:rsidR="00475724" w:rsidRPr="00475724" w:rsidRDefault="00BB08FA" w:rsidP="00475724">
      <w:pPr>
        <w:rPr>
          <w:sz w:val="22"/>
          <w:szCs w:val="22"/>
        </w:rPr>
      </w:pPr>
      <w:r>
        <w:rPr>
          <w:b/>
          <w:sz w:val="22"/>
          <w:szCs w:val="22"/>
        </w:rPr>
        <w:t>Magali Sarazin</w:t>
      </w:r>
      <w:r w:rsidR="00475724">
        <w:rPr>
          <w:sz w:val="22"/>
          <w:szCs w:val="22"/>
        </w:rPr>
        <w:t xml:space="preserve">, </w:t>
      </w:r>
      <w:r w:rsidR="00DA3D88">
        <w:rPr>
          <w:sz w:val="22"/>
          <w:szCs w:val="22"/>
        </w:rPr>
        <w:t>c</w:t>
      </w:r>
      <w:r>
        <w:rPr>
          <w:sz w:val="22"/>
          <w:szCs w:val="22"/>
        </w:rPr>
        <w:t>hargée de communication</w:t>
      </w:r>
      <w:r w:rsidR="00475724" w:rsidRPr="00475724">
        <w:rPr>
          <w:sz w:val="22"/>
          <w:szCs w:val="22"/>
        </w:rPr>
        <w:t>, CNRS Alsace</w:t>
      </w:r>
    </w:p>
    <w:p w:rsidR="008668A3" w:rsidRDefault="00475724" w:rsidP="00475724">
      <w:pPr>
        <w:rPr>
          <w:sz w:val="22"/>
          <w:szCs w:val="22"/>
        </w:rPr>
      </w:pPr>
      <w:r w:rsidRPr="00475724">
        <w:rPr>
          <w:sz w:val="22"/>
          <w:szCs w:val="22"/>
        </w:rPr>
        <w:t xml:space="preserve">03 88 10 </w:t>
      </w:r>
      <w:r w:rsidR="00BB08FA">
        <w:rPr>
          <w:sz w:val="22"/>
          <w:szCs w:val="22"/>
        </w:rPr>
        <w:t>61 02</w:t>
      </w:r>
      <w:r w:rsidRPr="00475724">
        <w:rPr>
          <w:sz w:val="22"/>
          <w:szCs w:val="22"/>
        </w:rPr>
        <w:t xml:space="preserve"> | </w:t>
      </w:r>
      <w:hyperlink r:id="rId14" w:history="1">
        <w:r w:rsidR="00BB08FA" w:rsidRPr="00455C4C">
          <w:rPr>
            <w:rStyle w:val="Lienhypertexte"/>
            <w:sz w:val="22"/>
            <w:szCs w:val="22"/>
          </w:rPr>
          <w:t>magali.sarazin@alsace.cnrs.fr</w:t>
        </w:r>
      </w:hyperlink>
    </w:p>
    <w:p w:rsidR="00BB08FA" w:rsidRPr="005B13CB" w:rsidRDefault="00BB08FA" w:rsidP="00475724">
      <w:pPr>
        <w:rPr>
          <w:sz w:val="22"/>
          <w:szCs w:val="22"/>
        </w:rPr>
      </w:pPr>
    </w:p>
    <w:sectPr w:rsidR="00BB08FA" w:rsidRPr="005B13CB" w:rsidSect="00BB08FA">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FA" w:rsidRDefault="00BB08FA" w:rsidP="00BB08FA">
      <w:r>
        <w:separator/>
      </w:r>
    </w:p>
  </w:endnote>
  <w:endnote w:type="continuationSeparator" w:id="0">
    <w:p w:rsidR="00BB08FA" w:rsidRDefault="00BB08FA" w:rsidP="00BB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FA" w:rsidRDefault="00BB08FA" w:rsidP="00BB08FA">
    <w:pPr>
      <w:pStyle w:val="Pieddepage"/>
      <w:jc w:val="center"/>
    </w:pPr>
    <w:r>
      <w:fldChar w:fldCharType="begin"/>
    </w:r>
    <w:r>
      <w:instrText>PAGE   \* MERGEFORMAT</w:instrText>
    </w:r>
    <w:r>
      <w:fldChar w:fldCharType="separate"/>
    </w:r>
    <w:r w:rsidR="001376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FA" w:rsidRDefault="00BB08FA" w:rsidP="00BB08FA">
      <w:r>
        <w:separator/>
      </w:r>
    </w:p>
  </w:footnote>
  <w:footnote w:type="continuationSeparator" w:id="0">
    <w:p w:rsidR="00BB08FA" w:rsidRDefault="00BB08FA" w:rsidP="00BB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4E53"/>
    <w:multiLevelType w:val="hybridMultilevel"/>
    <w:tmpl w:val="0D20DB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04402F"/>
    <w:multiLevelType w:val="hybridMultilevel"/>
    <w:tmpl w:val="405A2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D0621"/>
    <w:multiLevelType w:val="hybridMultilevel"/>
    <w:tmpl w:val="7CBEF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61714C"/>
    <w:multiLevelType w:val="hybridMultilevel"/>
    <w:tmpl w:val="8C88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A0"/>
    <w:rsid w:val="00023783"/>
    <w:rsid w:val="0004413E"/>
    <w:rsid w:val="000763B5"/>
    <w:rsid w:val="000D7A35"/>
    <w:rsid w:val="00137619"/>
    <w:rsid w:val="00164E1D"/>
    <w:rsid w:val="001F7B92"/>
    <w:rsid w:val="00303833"/>
    <w:rsid w:val="00381BFF"/>
    <w:rsid w:val="003A37C9"/>
    <w:rsid w:val="003D255A"/>
    <w:rsid w:val="00475724"/>
    <w:rsid w:val="00520D51"/>
    <w:rsid w:val="005765D5"/>
    <w:rsid w:val="005B13CB"/>
    <w:rsid w:val="00603BBB"/>
    <w:rsid w:val="006B30FB"/>
    <w:rsid w:val="00722CCF"/>
    <w:rsid w:val="00725E57"/>
    <w:rsid w:val="00765193"/>
    <w:rsid w:val="007859FE"/>
    <w:rsid w:val="007B4209"/>
    <w:rsid w:val="008005A0"/>
    <w:rsid w:val="00824B55"/>
    <w:rsid w:val="008668A3"/>
    <w:rsid w:val="008B49F6"/>
    <w:rsid w:val="008D4759"/>
    <w:rsid w:val="008F7392"/>
    <w:rsid w:val="00923036"/>
    <w:rsid w:val="009D0701"/>
    <w:rsid w:val="00A04014"/>
    <w:rsid w:val="00A24D8A"/>
    <w:rsid w:val="00A63455"/>
    <w:rsid w:val="00AA515B"/>
    <w:rsid w:val="00B463FE"/>
    <w:rsid w:val="00BB08FA"/>
    <w:rsid w:val="00BC7373"/>
    <w:rsid w:val="00BD10FD"/>
    <w:rsid w:val="00C6794F"/>
    <w:rsid w:val="00C82F24"/>
    <w:rsid w:val="00CE0154"/>
    <w:rsid w:val="00D837C0"/>
    <w:rsid w:val="00DA3D88"/>
    <w:rsid w:val="00E14EB5"/>
    <w:rsid w:val="00E9296C"/>
    <w:rsid w:val="00EA42AD"/>
    <w:rsid w:val="00F643DA"/>
    <w:rsid w:val="00F72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621BD-F59B-4096-9FF4-76F49D2C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A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4014"/>
    <w:pPr>
      <w:ind w:left="720"/>
      <w:contextualSpacing/>
    </w:pPr>
  </w:style>
  <w:style w:type="character" w:styleId="Lienhypertexte">
    <w:name w:val="Hyperlink"/>
    <w:basedOn w:val="Policepardfaut"/>
    <w:uiPriority w:val="99"/>
    <w:unhideWhenUsed/>
    <w:rsid w:val="00A04014"/>
    <w:rPr>
      <w:color w:val="0563C1" w:themeColor="hyperlink"/>
      <w:u w:val="single"/>
    </w:rPr>
  </w:style>
  <w:style w:type="character" w:customStyle="1" w:styleId="UnresolvedMention">
    <w:name w:val="Unresolved Mention"/>
    <w:basedOn w:val="Policepardfaut"/>
    <w:uiPriority w:val="99"/>
    <w:semiHidden/>
    <w:unhideWhenUsed/>
    <w:rsid w:val="00A04014"/>
    <w:rPr>
      <w:color w:val="605E5C"/>
      <w:shd w:val="clear" w:color="auto" w:fill="E1DFDD"/>
    </w:rPr>
  </w:style>
  <w:style w:type="paragraph" w:styleId="En-tte">
    <w:name w:val="header"/>
    <w:basedOn w:val="Normal"/>
    <w:link w:val="En-tteCar"/>
    <w:uiPriority w:val="99"/>
    <w:unhideWhenUsed/>
    <w:rsid w:val="00BB08FA"/>
    <w:pPr>
      <w:tabs>
        <w:tab w:val="center" w:pos="4536"/>
        <w:tab w:val="right" w:pos="9072"/>
      </w:tabs>
    </w:pPr>
  </w:style>
  <w:style w:type="character" w:customStyle="1" w:styleId="En-tteCar">
    <w:name w:val="En-tête Car"/>
    <w:basedOn w:val="Policepardfaut"/>
    <w:link w:val="En-tte"/>
    <w:uiPriority w:val="99"/>
    <w:rsid w:val="00BB08FA"/>
    <w:rPr>
      <w:sz w:val="24"/>
      <w:szCs w:val="24"/>
    </w:rPr>
  </w:style>
  <w:style w:type="paragraph" w:styleId="Pieddepage">
    <w:name w:val="footer"/>
    <w:basedOn w:val="Normal"/>
    <w:link w:val="PieddepageCar"/>
    <w:uiPriority w:val="99"/>
    <w:unhideWhenUsed/>
    <w:rsid w:val="00BB08FA"/>
    <w:pPr>
      <w:tabs>
        <w:tab w:val="center" w:pos="4536"/>
        <w:tab w:val="right" w:pos="9072"/>
      </w:tabs>
    </w:pPr>
  </w:style>
  <w:style w:type="character" w:customStyle="1" w:styleId="PieddepageCar">
    <w:name w:val="Pied de page Car"/>
    <w:basedOn w:val="Policepardfaut"/>
    <w:link w:val="Pieddepage"/>
    <w:uiPriority w:val="99"/>
    <w:rsid w:val="00BB08FA"/>
    <w:rPr>
      <w:sz w:val="24"/>
      <w:szCs w:val="24"/>
    </w:rPr>
  </w:style>
  <w:style w:type="paragraph" w:styleId="Textedebulles">
    <w:name w:val="Balloon Text"/>
    <w:basedOn w:val="Normal"/>
    <w:link w:val="TextedebullesCar"/>
    <w:uiPriority w:val="99"/>
    <w:semiHidden/>
    <w:unhideWhenUsed/>
    <w:rsid w:val="003D25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3743">
      <w:bodyDiv w:val="1"/>
      <w:marLeft w:val="0"/>
      <w:marRight w:val="0"/>
      <w:marTop w:val="0"/>
      <w:marBottom w:val="0"/>
      <w:divBdr>
        <w:top w:val="none" w:sz="0" w:space="0" w:color="auto"/>
        <w:left w:val="none" w:sz="0" w:space="0" w:color="auto"/>
        <w:bottom w:val="none" w:sz="0" w:space="0" w:color="auto"/>
        <w:right w:val="none" w:sz="0" w:space="0" w:color="auto"/>
      </w:divBdr>
    </w:div>
    <w:div w:id="8619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marcorocca.word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MarcoRocca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cca@unistra.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rc.europa.eu/news/erc-2021-starting-grants-results" TargetMode="External"/><Relationship Id="rId4" Type="http://schemas.openxmlformats.org/officeDocument/2006/relationships/webSettings" Target="webSettings.xml"/><Relationship Id="rId9" Type="http://schemas.openxmlformats.org/officeDocument/2006/relationships/hyperlink" Target="https://www.cnrs.fr/fr/cnrsinfo/26-laureats-cnrs-lappel-erc-starting-2021" TargetMode="External"/><Relationship Id="rId14" Type="http://schemas.openxmlformats.org/officeDocument/2006/relationships/hyperlink" Target="mailto:magali.sarazin@alsace.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6372</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SARAZIN Magali</dc:creator>
  <cp:keywords/>
  <dc:description/>
  <cp:lastModifiedBy>RIEGERT Marion</cp:lastModifiedBy>
  <cp:revision>2</cp:revision>
  <cp:lastPrinted>2022-01-10T15:52:00Z</cp:lastPrinted>
  <dcterms:created xsi:type="dcterms:W3CDTF">2022-01-11T12:41:00Z</dcterms:created>
  <dcterms:modified xsi:type="dcterms:W3CDTF">2022-01-11T12:41:00Z</dcterms:modified>
</cp:coreProperties>
</file>